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1800"/>
        <w:jc w:val="center"/>
      </w:pPr>
      <w:r>
        <w:drawing>
          <wp:inline distT="0" distB="0" distL="0" distR="0">
            <wp:extent cx="4381500" cy="1381125"/>
            <wp:effectExtent t="0" r="0" b="0" l="0"/>
            <wp:docPr id="1" name="logo" descr="Logo AIMAXIMUS" title="AIMAXI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 w:before="400"/>
        <w:jc w:val="center"/>
      </w:pPr>
      <w:r>
        <w:rPr>
          <w:b/>
          <w:bCs/>
          <w:color w:val="1B4D8C"/>
          <w:sz w:val="56"/>
          <w:szCs w:val="56"/>
        </w:rPr>
        <w:t xml:space="preserve">Manual de Usuario</w:t>
      </w:r>
    </w:p>
    <w:p>
      <w:pPr>
        <w:spacing w:after="40"/>
        <w:jc w:val="center"/>
      </w:pPr>
      <w:r>
        <w:rPr>
          <w:color w:val="1F2937"/>
          <w:sz w:val="28"/>
          <w:szCs w:val="28"/>
        </w:rPr>
        <w:t xml:space="preserve">Sistema RAG de Análisis Inteligente de Documentos</w:t>
      </w:r>
    </w:p>
    <w:p>
      <w:pPr>
        <w:spacing w:after="0" w:before="300"/>
        <w:jc w:val="center"/>
      </w:pPr>
      <w:r>
        <w:rPr>
          <w:color w:val="6B7280"/>
          <w:sz w:val="22"/>
          <w:szCs w:val="22"/>
        </w:rPr>
        <w:t xml:space="preserve">Versión 2.0 · Actualizado a 9 de junio de 2026</w:t>
      </w:r>
    </w:p>
    <w:p>
      <w:pPr>
        <w:jc w:val="center"/>
      </w:pPr>
      <w:r>
        <w:rPr>
          <w:i/>
          <w:iCs/>
          <w:color w:val="6B7280"/>
          <w:sz w:val="18"/>
          <w:szCs w:val="18"/>
        </w:rPr>
        <w:t xml:space="preserve">Cobertura configurable del corpus · Memoria de chat ajustable · OCR híbrido · 21 roles</w:t>
      </w:r>
    </w:p>
    <w:p>
      <w:r>
        <w:br w:type="page"/>
      </w:r>
    </w:p>
    <w:p>
      <w:pPr>
        <w:pStyle w:val="Heading1"/>
      </w:pPr>
      <w:r>
        <w:t xml:space="preserve">Tabla de contenidos</w:t>
      </w:r>
    </w:p>
    <w:sdt>
      <w:sdtPr>
        <w:alias w:val="Tabla de contenidos"/>
      </w:sdtPr>
      <w:sdtContent>
        <w:p>
          <w:r>
            <w:fldChar w:fldCharType="begin" w:dirty="true"/>
            <w:instrText xml:space="preserve">TOC \h \o "1-2"</w:instrText>
            <w:fldChar w:fldCharType="separate"/>
          </w:r>
        </w:p>
        <w:p>
          <w:r>
            <w:fldChar w:fldCharType="end"/>
          </w:r>
        </w:p>
      </w:sdtContent>
    </w:sdt>
    <w:p>
      <w:pPr>
        <w:spacing w:before="120"/>
      </w:pPr>
      <w:r>
        <w:rPr>
          <w:i/>
          <w:iCs/>
          <w:color w:val="6B7280"/>
          <w:sz w:val="18"/>
          <w:szCs w:val="18"/>
        </w:rPr>
        <w:t xml:space="preserve">Sugerencia: en Word, haga clic derecho sobre la tabla → “Actualizar campos” para regenerar los números de página.</w:t>
      </w:r>
    </w:p>
    <w:p>
      <w:r>
        <w:br w:type="page"/>
      </w:r>
    </w:p>
    <w:p>
      <w:pPr>
        <w:pStyle w:val="Heading1"/>
      </w:pPr>
      <w:r>
        <w:t xml:space="preserve">1. ¿Qué es AIMAXIMUS?</w:t>
      </w:r>
    </w:p>
    <w:p>
      <w:pPr>
        <w:spacing w:after="120" w:line="276"/>
      </w:pPr>
      <w:r>
        <w:t xml:space="preserve">AIMAXIMUS es un sistema de inteligencia artificial </w:t>
      </w:r>
      <w:r>
        <w:rPr>
          <w:b/>
          <w:bCs/>
        </w:rPr>
        <w:t xml:space="preserve">RAG (Retrieval-Augmented Generation)</w:t>
      </w:r>
      <w:r>
        <w:t xml:space="preserve">: en lugar de responder desde “lo que aprendió de internet”, razona </w:t>
      </w:r>
      <w:r>
        <w:rPr>
          <w:b/>
          <w:bCs/>
        </w:rPr>
        <w:t xml:space="preserve">sobre los documentos que usted carga</w:t>
      </w:r>
      <w:r>
        <w:t xml:space="preserve">. Procesa PDFs (incluso escaneados) con OCR avanzado, comprende su contenido y responde preguntas concretas con </w:t>
      </w:r>
      <w:r>
        <w:rPr>
          <w:b/>
          <w:bCs/>
        </w:rPr>
        <w:t xml:space="preserve">citas verificables</w:t>
      </w:r>
      <w:r>
        <w:t xml:space="preserve"> (documento y página).</w:t>
      </w:r>
    </w:p>
    <w:p>
      <w:pPr>
        <w:pStyle w:val="Heading2"/>
      </w:pPr>
      <w:r>
        <w:t xml:space="preserve">Ventajas principales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Precisión superior:</w:t>
      </w:r>
      <w:r>
        <w:t xml:space="preserve"> OCR híbrido de 4 motores + IA de visión para documentos complejos.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Especialización profesional:</w:t>
      </w:r>
      <w:r>
        <w:t xml:space="preserve"> 21 roles configurables (contador, abogado, ingeniero, auditor, etc.).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Trazabilidad:</w:t>
      </w:r>
      <w:r>
        <w:t xml:space="preserve"> cada respuesta cita sus fuentes con documento y página.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Privacidad:</w:t>
      </w:r>
      <w:r>
        <w:t xml:space="preserve"> con el </w:t>
      </w:r>
      <w:r>
        <w:rPr>
          <w:b/>
          <w:bCs/>
        </w:rPr>
        <w:t xml:space="preserve">Modo SOLO-LOCAL</w:t>
      </w:r>
      <w:r>
        <w:t xml:space="preserve"> la IA corre en su equipo; nada sale del computador.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Cobertura configurable:</w:t>
      </w:r>
      <w:r>
        <w:t xml:space="preserve"> del muestreo rápido a leer el </w:t>
      </w:r>
      <w:r>
        <w:rPr>
          <w:b/>
          <w:bCs/>
        </w:rPr>
        <w:t xml:space="preserve">100% de cada documento</w:t>
      </w:r>
      <w:r>
        <w:t xml:space="preserve"> (modo Cobertura total).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Exportación flexible:</w:t>
      </w:r>
      <w:r>
        <w:t xml:space="preserve"> Word, PDF, Excel y HTML con formato profesional.</w:t>
      </w:r>
    </w:p>
    <w:p>
      <w:pPr>
        <w:pBdr>
          <w:left w:val="single" w:color="1B4D8C" w:sz="24" w:space="8"/>
        </w:pBdr>
        <w:shd w:fill="EAF2FB" w:val="clear"/>
        <w:spacing w:after="140" w:before="100"/>
      </w:pPr>
      <w:r>
        <w:rPr>
          <w:b/>
          <w:bCs/>
        </w:rPr>
        <w:t xml:space="preserve">Honestidad sobre límites:</w:t>
      </w:r>
      <w:r>
        <w:t xml:space="preserve"> AIMAXIMUS recupera y razona sobre la información más relevante a su pregunta. En modo informe abarca todos los documentos; con </w:t>
      </w:r>
      <w:r>
        <w:rPr>
          <w:b/>
          <w:bCs/>
        </w:rPr>
        <w:t xml:space="preserve">Cobertura total</w:t>
      </w:r>
      <w:r>
        <w:t xml:space="preserve"> lee el 100% de cada uno. No “memoriza” toda la conversación: recuerda las últimas preguntas (ajustable).</w:t>
      </w:r>
    </w:p>
    <w:p>
      <w:pPr>
        <w:pStyle w:val="Heading1"/>
      </w:pPr>
      <w:r>
        <w:t xml:space="preserve">2. Navegación del sistema</w:t>
      </w:r>
    </w:p>
    <w:p>
      <w:pPr>
        <w:spacing w:after="120" w:line="276"/>
      </w:pPr>
      <w:r>
        <w:t xml:space="preserve">La aplicación tiene </w:t>
      </w:r>
      <w:r>
        <w:rPr>
          <w:b/>
          <w:bCs/>
        </w:rPr>
        <w:t xml:space="preserve">4 opciones</w:t>
      </w:r>
      <w:r>
        <w:t xml:space="preserve"> en la barra superior. El sistema valida automáticamente que tenga un proyecto seleccionado antes de procesar documentos, y documentos cargados antes de abrir el chat.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857500"/>
            <wp:effectExtent t="0" r="0" b="0" l="0"/>
            <wp:docPr id="1" name="Menu Superior" descr="Barra superior: Proyectos · Proc. Documental · Chat &amp; Análisis · Configuración" title="Barra superior: Proyectos · Proc. Documental · Chat &amp; Análisis · Configu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Barra superior: Proyectos · Proc. Documental · Chat &amp; Análisis · Configuración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200"/>
        <w:gridCol w:w="5160"/>
        <w:gridCol w:w="2000"/>
      </w:tblGrid>
      <w:tr>
        <w:trPr>
          <w:tblHeader/>
        </w:trPr>
        <w:tc>
          <w:tcPr>
            <w:tcW w:type="dxa" w:w="22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Sección</w:t>
            </w:r>
          </w:p>
        </w:tc>
        <w:tc>
          <w:tcPr>
            <w:tcW w:type="dxa" w:w="51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Qué hace</w:t>
            </w:r>
          </w:p>
        </w:tc>
        <w:tc>
          <w:tcPr>
            <w:tcW w:type="dxa" w:w="20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Requisito</w:t>
            </w:r>
          </w:p>
        </w:tc>
      </w:tr>
      <w:tr>
        <w:tc>
          <w:tcPr>
            <w:tcW w:type="dxa" w:w="2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🗃️ Proyectos</w:t>
            </w:r>
          </w:p>
        </w:tc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Crear, seleccionar y gestionar proyectos. Incluye roles.</w:t>
            </w:r>
          </w:p>
        </w:tc>
        <w:tc>
          <w:tcPr>
            <w:tcW w:type="dxa" w:w="2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Siempre accesible</w:t>
            </w:r>
          </w:p>
        </w:tc>
      </w:tr>
      <w:tr>
        <w:tc>
          <w:tcPr>
            <w:tcW w:type="dxa" w:w="2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📄 Proc. Documental</w:t>
            </w:r>
          </w:p>
        </w:tc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Subir documentos, ver tablas extraídas y el catálogo.</w:t>
            </w:r>
          </w:p>
        </w:tc>
        <w:tc>
          <w:tcPr>
            <w:tcW w:type="dxa" w:w="20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Proyecto seleccionado</w:t>
            </w:r>
          </w:p>
        </w:tc>
      </w:tr>
      <w:tr>
        <w:tc>
          <w:tcPr>
            <w:tcW w:type="dxa" w:w="2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🧠 Chat &amp; Análisis</w:t>
            </w:r>
          </w:p>
        </w:tc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Chat IA, visualizaciones y exportación.</w:t>
            </w:r>
          </w:p>
        </w:tc>
        <w:tc>
          <w:tcPr>
            <w:tcW w:type="dxa" w:w="2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Proyecto + documentos</w:t>
            </w:r>
          </w:p>
        </w:tc>
      </w:tr>
      <w:tr>
        <w:tc>
          <w:tcPr>
            <w:tcW w:type="dxa" w:w="2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⚙️ Configuración</w:t>
            </w:r>
          </w:p>
        </w:tc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Proveedores IA, estadísticas, panel avanzado y manual.</w:t>
            </w:r>
          </w:p>
        </w:tc>
        <w:tc>
          <w:tcPr>
            <w:tcW w:type="dxa" w:w="20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Siempre accesible</w:t>
            </w:r>
          </w:p>
        </w:tc>
      </w:tr>
    </w:tbl>
    <w:p>
      <w:r>
        <w:br w:type="page"/>
      </w:r>
    </w:p>
    <w:p>
      <w:pPr>
        <w:pStyle w:val="Heading1"/>
      </w:pPr>
      <w:r>
        <w:t xml:space="preserve">3. Guía paso a paso</w:t>
      </w:r>
    </w:p>
    <w:p>
      <w:pPr>
        <w:pStyle w:val="Heading2"/>
      </w:pPr>
      <w:r>
        <w:t xml:space="preserve">Paso 0 · Crear un proyecto (primero)</w:t>
      </w:r>
    </w:p>
    <w:p>
      <w:pPr>
        <w:spacing w:after="120" w:line="276"/>
      </w:pPr>
      <w:r>
        <w:t xml:space="preserve">Los proyectos agrupan documentos relacionados. </w:t>
      </w:r>
      <w:r>
        <w:rPr>
          <w:b/>
          <w:bCs/>
        </w:rPr>
        <w:t xml:space="preserve">Debe crear un proyecto antes de subir documentos.</w:t>
      </w:r>
      <w:r>
        <w:t xml:space="preserve"> Mantenga un tema/caso por proyecto para que el análisis sea preciso.</w:t>
      </w:r>
    </w:p>
    <w:p>
      <w:pPr>
        <w:pStyle w:val="ListParagraph"/>
        <w:numPr>
          <w:ilvl w:val="0"/>
          <w:numId w:val="3"/>
        </w:numPr>
        <w:spacing w:after="60"/>
      </w:pPr>
      <w:r>
        <w:t xml:space="preserve">Abra </w:t>
      </w:r>
      <w:r>
        <w:rPr>
          <w:b/>
          <w:bCs/>
        </w:rPr>
        <w:t xml:space="preserve">🗃️ Proyectos</w:t>
      </w:r>
      <w:r>
        <w:t xml:space="preserve"> en la barra superior.</w:t>
      </w:r>
    </w:p>
    <w:p>
      <w:pPr>
        <w:pStyle w:val="ListParagraph"/>
        <w:numPr>
          <w:ilvl w:val="0"/>
          <w:numId w:val="3"/>
        </w:numPr>
        <w:spacing w:after="60"/>
      </w:pPr>
      <w:r>
        <w:t xml:space="preserve">Haga clic en </w:t>
      </w:r>
      <w:r>
        <w:rPr>
          <w:b/>
          <w:bCs/>
        </w:rPr>
        <w:t xml:space="preserve">Crear Nuevo Proyecto</w:t>
      </w:r>
      <w:r>
        <w:t xml:space="preserve"> y asigne un nombre descriptivo (p. ej. “Declaración Renta 2024”).</w:t>
      </w:r>
    </w:p>
    <w:p>
      <w:pPr>
        <w:pStyle w:val="ListParagraph"/>
        <w:numPr>
          <w:ilvl w:val="0"/>
          <w:numId w:val="3"/>
        </w:numPr>
        <w:spacing w:after="60"/>
      </w:pPr>
      <w:r>
        <w:t xml:space="preserve">Guarde y </w:t>
      </w:r>
      <w:r>
        <w:rPr>
          <w:b/>
          <w:bCs/>
        </w:rPr>
        <w:t xml:space="preserve">selecciónelo</w:t>
      </w:r>
      <w:r>
        <w:t xml:space="preserve"> para activarlo.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3190875"/>
            <wp:effectExtent t="0" r="0" b="0" l="0"/>
            <wp:docPr id="1" name="Proyectos - Gestión de Proyectos" descr="Vista de gestión de proyectos" title="Vista de gestión de proye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Vista de gestión de proyectos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905125"/>
            <wp:effectExtent t="0" r="0" b="0" l="0"/>
            <wp:docPr id="1" name="Proyectos - seleccionar Proyectos" descr="Selección del proyecto activo (el botón ▶ lo deja activo para toda la sesión)" title="Selección del proyecto activo (el botón ▶ lo deja activo para toda la ses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Selección del proyecto activo (el botón ▶ lo deja activo para toda la sesión)</w:t>
      </w:r>
    </w:p>
    <w:p>
      <w:pPr>
        <w:pBdr>
          <w:left w:val="single" w:color="D97706" w:sz="24" w:space="8"/>
        </w:pBdr>
        <w:shd w:fill="FFF4E5" w:val="clear"/>
        <w:spacing w:after="140" w:before="100"/>
      </w:pPr>
      <w:r>
        <w:rPr>
          <w:b/>
          <w:bCs/>
        </w:rPr>
        <w:t xml:space="preserve">Verificación:</w:t>
      </w:r>
      <w:r>
        <w:t xml:space="preserve"> antes de subir documentos confirme que ve el proyecto seleccionado en el panel lateral. Si no hay proyecto activo, NO suba documentos todavía.</w:t>
      </w:r>
    </w:p>
    <w:p>
      <w:pPr>
        <w:pStyle w:val="Heading2"/>
      </w:pPr>
      <w:r>
        <w:t xml:space="preserve">Paso 1 · Elegir el rol profesional</w:t>
      </w:r>
    </w:p>
    <w:p>
      <w:pPr>
        <w:spacing w:after="120" w:line="276"/>
      </w:pPr>
      <w:r>
        <w:t xml:space="preserve">El rol está en el panel lateral izquierdo, bajo </w:t>
      </w:r>
      <w:r>
        <w:rPr>
          <w:b/>
          <w:bCs/>
        </w:rPr>
        <w:t xml:space="preserve">👤 Roles y Personalidades</w:t>
      </w:r>
      <w:r>
        <w:t xml:space="preserve">. El rol no solo cambia el tono: ajusta todo el motor (cuántos fragmentos lee, temperatura, profundidad, razonamiento). </w:t>
      </w:r>
      <w:r>
        <w:rPr>
          <w:b/>
          <w:bCs/>
        </w:rPr>
        <w:t xml:space="preserve">Elija el rol según el tipo de documento, no según la pregunta.</w:t>
      </w:r>
    </w:p>
    <w:p>
      <w:pPr>
        <w:spacing w:after="40" w:before="120"/>
        <w:jc w:val="center"/>
      </w:pPr>
      <w:r>
        <w:drawing>
          <wp:inline distT="0" distB="0" distL="0" distR="0">
            <wp:extent cx="1905000" cy="4476750"/>
            <wp:effectExtent t="0" r="0" b="0" l="0"/>
            <wp:docPr id="1" name="Menu Lateral - Roles y Personalidades" descr="Selector de roles en el panel lateral" title="Selector de roles en el panel lat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Selector de roles en el panel lateral</w:t>
      </w:r>
    </w:p>
    <w:p>
      <w:pPr>
        <w:pStyle w:val="Heading2"/>
      </w:pPr>
      <w:r>
        <w:t xml:space="preserve">Paso 2 · Subir y procesar documentos</w:t>
      </w:r>
    </w:p>
    <w:p>
      <w:pPr>
        <w:spacing w:after="120" w:line="276"/>
      </w:pPr>
      <w:r>
        <w:t xml:space="preserve">Vaya a </w:t>
      </w:r>
      <w:r>
        <w:rPr>
          <w:b/>
          <w:bCs/>
        </w:rPr>
        <w:t xml:space="preserve">📄 Proc. Documental</w:t>
      </w:r>
      <w:r>
        <w:t xml:space="preserve"> y arrastre o seleccione sus archivos (PDF, imágenes, DOCX, XLSX, TXT, audio). El sistema ejecuta automáticamente OCR híbrido, extracción de texto, vectorización y catalogación.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676275"/>
            <wp:effectExtent t="0" r="0" b="0" l="0"/>
            <wp:docPr id="1" name="Procesamiento Documental - Subida de archivos" descr="Zona de carga de archivos" title="Zona de carga de arch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Zona de carga de archivos</w:t>
      </w:r>
    </w:p>
    <w:p>
      <w:pPr>
        <w:spacing w:after="120" w:line="276"/>
      </w:pPr>
      <w:r>
        <w:t xml:space="preserve">El procesamiento corre </w:t>
      </w:r>
      <w:r>
        <w:rPr>
          <w:b/>
          <w:bCs/>
        </w:rPr>
        <w:t xml:space="preserve">en segundo plano</w:t>
      </w:r>
      <w:r>
        <w:t xml:space="preserve">: puede seguir trabajando mientras los documentos se indexan.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1466850"/>
            <wp:effectExtent t="0" r="0" b="0" l="0"/>
            <wp:docPr id="1" name="Procesamiento Documental - En segundo Plano" descr="Procesamiento en segundo plano con barra de avance" title="Procesamiento en segundo plano con barra de a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Procesamiento en segundo plano con barra de avance</w:t>
      </w:r>
    </w:p>
    <w:p>
      <w:pPr>
        <w:spacing w:after="120" w:line="276"/>
      </w:pPr>
      <w:r>
        <w:t xml:space="preserve">Al terminar, la IA cataloga cada documento (tipo, descripción y temas). Consulte el catálogo escribiendo “¿qué documentos hay en el proyecto?” o abriendo el panel </w:t>
      </w:r>
      <w:r>
        <w:rPr>
          <w:b/>
          <w:bCs/>
        </w:rPr>
        <w:t xml:space="preserve">Catálogo del Proyecto</w:t>
      </w:r>
      <w:r>
        <w:t xml:space="preserve">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3171825"/>
            <wp:effectExtent t="0" r="0" b="0" l="0"/>
            <wp:docPr id="1" name="Procesamiento Documental - Catalogo de Documentos del Proyecto" descr="Catálogo automático de documentos" title="Catálogo automático de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Catálogo automático de documentos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600"/>
        <w:gridCol w:w="3380"/>
        <w:gridCol w:w="3380"/>
      </w:tblGrid>
      <w:tr>
        <w:trPr>
          <w:tblHeader/>
        </w:trPr>
        <w:tc>
          <w:tcPr>
            <w:tcW w:type="dxa" w:w="26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Tipo de documento</w:t>
            </w:r>
          </w:p>
        </w:tc>
        <w:tc>
          <w:tcPr>
            <w:tcW w:type="dxa" w:w="33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PDF digital (texto)</w:t>
            </w:r>
          </w:p>
        </w:tc>
        <w:tc>
          <w:tcPr>
            <w:tcW w:type="dxa" w:w="33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PDF escaneado (OCR nube)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Velocidad</w:t>
            </w:r>
          </w:p>
        </w:tc>
        <w:tc>
          <w:tcPr>
            <w:tcW w:type="dxa" w:w="33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Muy rápido (0,05 s/pág)</w:t>
            </w:r>
          </w:p>
        </w:tc>
        <w:tc>
          <w:tcPr>
            <w:tcW w:type="dxa" w:w="33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Lento (4–8 s/pág)</w:t>
            </w:r>
          </w:p>
        </w:tc>
      </w:tr>
      <w:tr>
        <w:tc>
          <w:tcPr>
            <w:tcW w:type="dxa" w:w="26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Costo</w:t>
            </w:r>
          </w:p>
        </w:tc>
        <w:tc>
          <w:tcPr>
            <w:tcW w:type="dxa" w:w="33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Gratis (nivel 0)</w:t>
            </w:r>
          </w:p>
        </w:tc>
        <w:tc>
          <w:tcPr>
            <w:tcW w:type="dxa" w:w="33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 costo si usa visión en nube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Recomendado</w:t>
            </w:r>
          </w:p>
        </w:tc>
        <w:tc>
          <w:tcPr>
            <w:tcW w:type="dxa" w:w="33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Hasta 1.000+ páginas</w:t>
            </w:r>
          </w:p>
        </w:tc>
        <w:tc>
          <w:tcPr>
            <w:tcW w:type="dxa" w:w="33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Dividir si supera 300–500 págs</w:t>
            </w:r>
          </w:p>
        </w:tc>
      </w:tr>
    </w:tbl>
    <w:p>
      <w:r>
        <w:br w:type="page"/>
      </w:r>
    </w:p>
    <w:p>
      <w:pPr>
        <w:pStyle w:val="Heading2"/>
      </w:pPr>
      <w:r>
        <w:t xml:space="preserve">Paso 3 · Consultar (Chat &amp; Análisis)</w:t>
      </w:r>
    </w:p>
    <w:p>
      <w:pPr>
        <w:spacing w:after="120" w:line="276"/>
      </w:pPr>
      <w:r>
        <w:t xml:space="preserve">Abra </w:t>
      </w:r>
      <w:r>
        <w:rPr>
          <w:b/>
          <w:bCs/>
        </w:rPr>
        <w:t xml:space="preserve">🧠 Chat &amp; Análisis</w:t>
      </w:r>
      <w:r>
        <w:t xml:space="preserve">. Escriba su pregunta en el cuadro inferior. Cuanto más específica la pregunta, mejor la respuesta.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943225"/>
            <wp:effectExtent t="0" r="0" b="0" l="0"/>
            <wp:docPr id="1" name="Chat y Análisis - Inicio" descr="Pantalla inicial del chat" title="Pantalla inicial del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Pantalla inicial del chat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409575"/>
            <wp:effectExtent t="0" r="0" b="0" l="0"/>
            <wp:docPr id="1" name="Chat y Análisis - Hacer Pregunta" descr="Cuadro para escribir la pregunta" title="Cuadro para escribir la preg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Cuadro para escribir la pregunta</w:t>
      </w:r>
    </w:p>
    <w:p>
      <w:pPr>
        <w:spacing w:after="120" w:line="276"/>
      </w:pPr>
      <w:r>
        <w:t xml:space="preserve">La respuesta llega con su estructura y, al final, las </w:t>
      </w:r>
      <w:r>
        <w:rPr>
          <w:b/>
          <w:bCs/>
        </w:rPr>
        <w:t xml:space="preserve">referencias documentales</w:t>
      </w:r>
      <w:r>
        <w:t xml:space="preserve"> con documento y página exacta para que pueda verificar cada afirmación.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762250"/>
            <wp:effectExtent t="0" r="0" b="0" l="0"/>
            <wp:docPr id="1" name="Chat y Análisis - Pregunta Respuesta I" descr="Respuesta del asistente" title="Respuesta del asist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Respuesta del asistente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286000"/>
            <wp:effectExtent t="0" r="0" b="0" l="0"/>
            <wp:docPr id="1" name="Chat y Análisis - Pregunta Respuesta Referencias Documentales" descr="Referencias documentales con documento y página" title="Referencias documentales con documento y pá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Referencias documentales con documento y página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600"/>
        <w:gridCol w:w="6760"/>
      </w:tblGrid>
      <w:tr>
        <w:trPr>
          <w:tblHeader/>
        </w:trPr>
        <w:tc>
          <w:tcPr>
            <w:tcW w:type="dxa" w:w="26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Tipo de consulta</w:t>
            </w:r>
          </w:p>
        </w:tc>
        <w:tc>
          <w:tcPr>
            <w:tcW w:type="dxa" w:w="67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Ejemplos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Extracción</w:t>
            </w:r>
          </w:p>
        </w:tc>
        <w:tc>
          <w:tcPr>
            <w:tcW w:type="dxa" w:w="67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“Extrae todas las fechas” · “Lista los montos y conceptos”</w:t>
            </w:r>
          </w:p>
        </w:tc>
      </w:tr>
      <w:tr>
        <w:tc>
          <w:tcPr>
            <w:tcW w:type="dxa" w:w="26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Análisis</w:t>
            </w:r>
          </w:p>
        </w:tc>
        <w:tc>
          <w:tcPr>
            <w:tcW w:type="dxa" w:w="67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“¿Cuál es el tema principal?” · “Resume los puntos clave”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Cálculo</w:t>
            </w:r>
          </w:p>
        </w:tc>
        <w:tc>
          <w:tcPr>
            <w:tcW w:type="dxa" w:w="67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“¿Cuál es la suma total de los pagos?”</w:t>
            </w:r>
          </w:p>
        </w:tc>
      </w:tr>
      <w:tr>
        <w:tc>
          <w:tcPr>
            <w:tcW w:type="dxa" w:w="26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Relación</w:t>
            </w:r>
          </w:p>
        </w:tc>
        <w:tc>
          <w:tcPr>
            <w:tcW w:type="dxa" w:w="67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“¿Hay contradicciones entre los documentos?”</w:t>
            </w:r>
          </w:p>
        </w:tc>
      </w:tr>
    </w:tbl>
    <w:p>
      <w:r>
        <w:br w:type="page"/>
      </w:r>
    </w:p>
    <w:p>
      <w:pPr>
        <w:pStyle w:val="Heading1"/>
      </w:pPr>
      <w:r>
        <w:t xml:space="preserve">4. Cobertura del análisis y memoria del chat</w:t>
      </w:r>
    </w:p>
    <w:p>
      <w:pPr>
        <w:pBdr>
          <w:left w:val="single" w:color="0E7C5A" w:sz="24" w:space="8"/>
        </w:pBdr>
        <w:shd w:fill="E9F7EF" w:val="clear"/>
        <w:spacing w:after="140" w:before="100"/>
      </w:pPr>
      <w:r>
        <w:rPr>
          <w:b/>
          <w:bCs/>
        </w:rPr>
        <w:t xml:space="preserve">Novedad (junio 2026):</w:t>
      </w:r>
      <w:r>
        <w:t xml:space="preserve"> ahora usted controla cuánto lee el sistema de cada documento y cuántas preguntas recuerda el chat.</w:t>
      </w:r>
    </w:p>
    <w:p>
      <w:pPr>
        <w:pStyle w:val="Heading2"/>
      </w:pPr>
      <w:r>
        <w:t xml:space="preserve">4.1 Nivel de cobertura</w:t>
      </w:r>
    </w:p>
    <w:p>
      <w:pPr>
        <w:spacing w:after="120" w:line="276"/>
      </w:pPr>
      <w:r>
        <w:t xml:space="preserve">En modo informe, AIMAXIMUS puede leer cada documento de forma </w:t>
      </w:r>
      <w:r>
        <w:rPr>
          <w:b/>
          <w:bCs/>
        </w:rPr>
        <w:t xml:space="preserve">muestreada</w:t>
      </w:r>
      <w:r>
        <w:t xml:space="preserve"> (rápido) o </w:t>
      </w:r>
      <w:r>
        <w:rPr>
          <w:b/>
          <w:bCs/>
        </w:rPr>
        <w:t xml:space="preserve">íntegra al 100%</w:t>
      </w:r>
      <w:r>
        <w:t xml:space="preserve"> (exhaustivo). Hay tres formas de controlarlo: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Por consulta:</w:t>
      </w:r>
      <w:r>
        <w:t xml:space="preserve"> active el toggle </w:t>
      </w:r>
      <w:r>
        <w:rPr>
          <w:b/>
          <w:bCs/>
        </w:rPr>
        <w:t xml:space="preserve">🔍 Cobertura total</w:t>
      </w:r>
      <w:r>
        <w:t xml:space="preserve"> sobre el chat (junto a 🔬 Análisis Profundo). Fuerza la lectura del 100% de cada documento.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Automático:</w:t>
      </w:r>
      <w:r>
        <w:t xml:space="preserve"> las preguntas tipo *informe / resumen / panorama / “todos los documentos”* elevan la cobertura por sí solas.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Por defecto:</w:t>
      </w:r>
      <w:r>
        <w:t xml:space="preserve"> elija el nivel en el menú lateral → </w:t>
      </w:r>
      <w:r>
        <w:rPr>
          <w:b/>
          <w:bCs/>
        </w:rPr>
        <w:t xml:space="preserve">📐 Cobertura y Memoria</w:t>
      </w:r>
      <w:r>
        <w:t xml:space="preserve">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1362075"/>
            <wp:effectExtent t="0" r="0" b="0" l="0"/>
            <wp:docPr id="1" name="Chat y Análisis - Opciones de Búsqueda" descr="Opciones sobre el chat (incluye los toggles de Análisis Profundo y Cobertura total)" title="Opciones sobre el chat (incluye los toggles de Análisis Profundo y Cobertura to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Opciones sobre el chat (incluye los toggles de Análisis Profundo y Cobertura total)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600"/>
        <w:gridCol w:w="3880"/>
        <w:gridCol w:w="2880"/>
      </w:tblGrid>
      <w:tr>
        <w:trPr>
          <w:tblHeader/>
        </w:trPr>
        <w:tc>
          <w:tcPr>
            <w:tcW w:type="dxa" w:w="26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Nivel</w:t>
            </w:r>
          </w:p>
        </w:tc>
        <w:tc>
          <w:tcPr>
            <w:tcW w:type="dxa" w:w="38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Qué hace</w:t>
            </w:r>
          </w:p>
        </w:tc>
        <w:tc>
          <w:tcPr>
            <w:tcW w:type="dxa" w:w="28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Cuándo usarlo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Rápido</w:t>
            </w:r>
          </w:p>
        </w:tc>
        <w:tc>
          <w:tcPr>
            <w:tcW w:type="dxa" w:w="38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Muestreo ligero de cada documento</w:t>
            </w:r>
          </w:p>
        </w:tc>
        <w:tc>
          <w:tcPr>
            <w:tcW w:type="dxa" w:w="28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Preguntas puntuales, máxima velocidad</w:t>
            </w:r>
          </w:p>
        </w:tc>
      </w:tr>
      <w:tr>
        <w:tc>
          <w:tcPr>
            <w:tcW w:type="dxa" w:w="26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Equilibrado</w:t>
            </w:r>
            <w:r>
              <w:t xml:space="preserve"> (recomendado)</w:t>
            </w:r>
          </w:p>
        </w:tc>
        <w:tc>
          <w:tcPr>
            <w:tcW w:type="dxa" w:w="38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Comportamiento estándar</w:t>
            </w:r>
          </w:p>
        </w:tc>
        <w:tc>
          <w:tcPr>
            <w:tcW w:type="dxa" w:w="28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Uso diario</w:t>
            </w:r>
          </w:p>
        </w:tc>
      </w:tr>
      <w:tr>
        <w:tc>
          <w:tcPr>
            <w:tcW w:type="dxa" w:w="26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Exhaustivo</w:t>
            </w:r>
          </w:p>
        </w:tc>
        <w:tc>
          <w:tcPr>
            <w:tcW w:type="dxa" w:w="38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Lee el </w:t>
            </w:r>
            <w:r>
              <w:rPr>
                <w:b/>
                <w:bCs/>
              </w:rPr>
              <w:t xml:space="preserve">100%</w:t>
            </w:r>
            <w:r>
              <w:t xml:space="preserve"> de cada documento (por ventanas)</w:t>
            </w:r>
          </w:p>
        </w:tc>
        <w:tc>
          <w:tcPr>
            <w:tcW w:type="dxa" w:w="28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Informes y auditorías sin puntos ciegos</w:t>
            </w:r>
          </w:p>
        </w:tc>
      </w:tr>
    </w:tbl>
    <w:p>
      <w:pPr>
        <w:pBdr>
          <w:left w:val="single" w:color="D97706" w:sz="24" w:space="8"/>
        </w:pBdr>
        <w:shd w:fill="FFF4E5" w:val="clear"/>
        <w:spacing w:after="140" w:before="100"/>
      </w:pPr>
      <w:r>
        <w:rPr>
          <w:b/>
          <w:bCs/>
        </w:rPr>
        <w:t xml:space="preserve">Costo / velocidad:</w:t>
      </w:r>
      <w:r>
        <w:t xml:space="preserve"> el nivel exhaustivo es más lento y consume más en proyectos grandes. El sistema le avisa con una estimación de fragmentos antes de procesar. Para preguntas simples, mantenga Equilibrado.</w:t>
      </w:r>
    </w:p>
    <w:p>
      <w:pPr>
        <w:pStyle w:val="Heading2"/>
      </w:pPr>
      <w:r>
        <w:t xml:space="preserve">4.2 Memoria de conversación</w:t>
      </w:r>
    </w:p>
    <w:p>
      <w:pPr>
        <w:spacing w:after="120" w:line="276"/>
      </w:pPr>
      <w:r>
        <w:t xml:space="preserve">El chat recuerda por defecto las </w:t>
      </w:r>
      <w:r>
        <w:rPr>
          <w:b/>
          <w:bCs/>
        </w:rPr>
        <w:t xml:space="preserve">últimas 3 preguntas y respuestas</w:t>
      </w:r>
      <w:r>
        <w:t xml:space="preserve"> para encadenar el seguimiento (“¿y en la otra hoja?”). Puede ajustar cuántas recuerda (</w:t>
      </w:r>
      <w:r>
        <w:rPr>
          <w:b/>
          <w:bCs/>
        </w:rPr>
        <w:t xml:space="preserve">de 1 a 12</w:t>
      </w:r>
      <w:r>
        <w:t xml:space="preserve">) en el menú lateral → </w:t>
      </w:r>
      <w:r>
        <w:rPr>
          <w:b/>
          <w:bCs/>
        </w:rPr>
        <w:t xml:space="preserve">📐 Cobertura y Memoria</w:t>
      </w:r>
      <w:r>
        <w:t xml:space="preserve">.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Subir la memoria ayuda en conversaciones largas sobre el mismo tema.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Si cambia de tema, use </w:t>
      </w:r>
      <w:r>
        <w:rPr>
          <w:b/>
          <w:bCs/>
        </w:rPr>
        <w:t xml:space="preserve">🔄 Nueva conversación</w:t>
      </w:r>
      <w:r>
        <w:t xml:space="preserve"> para que temas anteriores no influyan en la nueva búsqueda.</w:t>
      </w:r>
    </w:p>
    <w:p>
      <w:pPr>
        <w:pBdr>
          <w:left w:val="single" w:color="1B4D8C" w:sz="24" w:space="8"/>
        </w:pBdr>
        <w:shd w:fill="EAF2FB" w:val="clear"/>
        <w:spacing w:after="140" w:before="100"/>
      </w:pPr>
      <w:r>
        <w:t xml:space="preserve">Valores altos de memoria pueden hacer que temas anteriores influyan en la búsqueda actual (contaminación de contexto). El valor por defecto (3) es el recomendado para la mayoría de casos.</w:t>
      </w:r>
    </w:p>
    <w:p>
      <w:r>
        <w:br w:type="page"/>
      </w:r>
    </w:p>
    <w:p>
      <w:pPr>
        <w:pStyle w:val="Heading1"/>
      </w:pPr>
      <w:r>
        <w:t xml:space="preserve">5. Exportar conversaciones y tablas</w:t>
      </w:r>
    </w:p>
    <w:p>
      <w:pPr>
        <w:spacing w:after="120" w:line="276"/>
      </w:pPr>
      <w:r>
        <w:t xml:space="preserve">Al final del chat, en </w:t>
      </w:r>
      <w:r>
        <w:rPr>
          <w:b/>
          <w:bCs/>
        </w:rPr>
        <w:t xml:space="preserve">📤 Exportar Conversación</w:t>
      </w:r>
      <w:r>
        <w:t xml:space="preserve">, dispone de cuatro formatos. Bajo cada respuesta también puede exportar esa pregunta-respuesta individual.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714375"/>
            <wp:effectExtent t="0" r="0" b="0" l="0"/>
            <wp:docPr id="1" name="Chat y Análisis - Pregunta Respuesta - Exportar Conversación" descr="Exportar toda la conversación (Word · PDF · Excel · HTML)" title="Exportar toda la conversación (Word · PDF · Excel · HTM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Exportar toda la conversación (Word · PDF · Excel · HTML)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1047750"/>
            <wp:effectExtent t="0" r="0" b="0" l="0"/>
            <wp:docPr id="1" name="Chat y Análisis - Pregunta Respuesta - Exportación Chat" descr="Exportación individual de una pregunta-respuesta" title="Exportación individual de una pregunta-respu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Exportación individual de una pregunta-respuesta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400"/>
        <w:gridCol w:w="6960"/>
      </w:tblGrid>
      <w:tr>
        <w:trPr>
          <w:tblHeader/>
        </w:trPr>
        <w:tc>
          <w:tcPr>
            <w:tcW w:type="dxa" w:w="24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Formato</w:t>
            </w:r>
          </w:p>
        </w:tc>
        <w:tc>
          <w:tcPr>
            <w:tcW w:type="dxa" w:w="69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Para qué sirve</w:t>
            </w:r>
          </w:p>
        </w:tc>
      </w:tr>
      <w:tr>
        <w:tc>
          <w:tcPr>
            <w:tcW w:type="dxa" w:w="24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Word (.docx)</w:t>
            </w:r>
          </w:p>
        </w:tc>
        <w:tc>
          <w:tcPr>
            <w:tcW w:type="dxa" w:w="69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Documento profesional con logo, header/footer institucional y estilos.</w:t>
            </w:r>
          </w:p>
        </w:tc>
      </w:tr>
      <w:tr>
        <w:tc>
          <w:tcPr>
            <w:tcW w:type="dxa" w:w="24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PDF</w:t>
            </w:r>
          </w:p>
        </w:tc>
        <w:tc>
          <w:tcPr>
            <w:tcW w:type="dxa" w:w="69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Formato corporativo con paginación, tablas y bibliografía.</w:t>
            </w:r>
          </w:p>
        </w:tc>
      </w:tr>
      <w:tr>
        <w:tc>
          <w:tcPr>
            <w:tcW w:type="dxa" w:w="24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Excel (.xlsx)</w:t>
            </w:r>
          </w:p>
        </w:tc>
        <w:tc>
          <w:tcPr>
            <w:tcW w:type="dxa" w:w="69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Tablas con formato + columna de fuentes.</w:t>
            </w:r>
          </w:p>
        </w:tc>
      </w:tr>
      <w:tr>
        <w:tc>
          <w:tcPr>
            <w:tcW w:type="dxa" w:w="24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HTML standalone</w:t>
            </w:r>
          </w:p>
        </w:tc>
        <w:tc>
          <w:tcPr>
            <w:tcW w:type="dxa" w:w="69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Un único archivo auto-contenido (ideal para correo o intranet).</w:t>
            </w:r>
          </w:p>
        </w:tc>
      </w:tr>
    </w:tbl>
    <w:p>
      <w:pPr>
        <w:pBdr>
          <w:left w:val="single" w:color="0E7C5A" w:sz="24" w:space="8"/>
        </w:pBdr>
        <w:shd w:fill="E9F7EF" w:val="clear"/>
        <w:spacing w:after="140" w:before="100"/>
      </w:pPr>
      <w:r>
        <w:t xml:space="preserve">Las exportaciones incluyen la </w:t>
      </w:r>
      <w:r>
        <w:rPr>
          <w:b/>
          <w:bCs/>
        </w:rPr>
        <w:t xml:space="preserve">portada con sello</w:t>
      </w:r>
      <w:r>
        <w:t xml:space="preserve">, las </w:t>
      </w:r>
      <w:r>
        <w:rPr>
          <w:b/>
          <w:bCs/>
        </w:rPr>
        <w:t xml:space="preserve">referencias con página exacta</w:t>
      </w:r>
      <w:r>
        <w:t xml:space="preserve"> y los </w:t>
      </w:r>
      <w:r>
        <w:rPr>
          <w:b/>
          <w:bCs/>
        </w:rPr>
        <w:t xml:space="preserve">fragmentos citados resaltados</w:t>
      </w:r>
      <w:r>
        <w:t xml:space="preserve">. Funcionan al primer clic.</w:t>
      </w:r>
    </w:p>
    <w:p>
      <w:pPr>
        <w:pStyle w:val="Heading1"/>
      </w:pPr>
      <w:r>
        <w:t xml:space="preserve">6. Proveedores de IA y configuración</w:t>
      </w:r>
    </w:p>
    <w:p>
      <w:pPr>
        <w:spacing w:after="120" w:line="276"/>
      </w:pPr>
      <w:r>
        <w:t xml:space="preserve">Configure los proveedores en </w:t>
      </w:r>
      <w:r>
        <w:rPr>
          <w:b/>
          <w:bCs/>
        </w:rPr>
        <w:t xml:space="preserve">Panel Avanzado → 🤖 Modelos de IA</w:t>
      </w:r>
      <w:r>
        <w:t xml:space="preserve"> (o en el panel lateral → 🤖 Proveedores IA). El sistema usa </w:t>
      </w:r>
      <w:r>
        <w:rPr>
          <w:b/>
          <w:bCs/>
        </w:rPr>
        <w:t xml:space="preserve">fallback automático</w:t>
      </w:r>
      <w:r>
        <w:t xml:space="preserve">: si el proveedor prioritario falla, pasa al siguiente.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962275"/>
            <wp:effectExtent t="0" r="0" b="0" l="0"/>
            <wp:docPr id="1" name="Panel Avanzado - Modelos IA" descr="Configuración de proveedores y prioridades" title="Configuración de proveedores y prior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Configuración de proveedores y prioridades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2400"/>
        <w:gridCol w:w="4960"/>
        <w:gridCol w:w="2000"/>
      </w:tblGrid>
      <w:tr>
        <w:trPr>
          <w:tblHeader/>
        </w:trPr>
        <w:tc>
          <w:tcPr>
            <w:tcW w:type="dxa" w:w="24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Proveedor</w:t>
            </w:r>
          </w:p>
        </w:tc>
        <w:tc>
          <w:tcPr>
            <w:tcW w:type="dxa" w:w="49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Mejor para</w:t>
            </w:r>
          </w:p>
        </w:tc>
        <w:tc>
          <w:tcPr>
            <w:tcW w:type="dxa" w:w="20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Costo relativo</w:t>
            </w:r>
          </w:p>
        </w:tc>
      </w:tr>
      <w:tr>
        <w:tc>
          <w:tcPr>
            <w:tcW w:type="dxa" w:w="24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DeepSeek V3.1</w:t>
            </w:r>
          </w:p>
        </w:tc>
        <w:tc>
          <w:tcPr>
            <w:tcW w:type="dxa" w:w="49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Uso diario, excelente relación precio/calidad</w:t>
            </w:r>
          </w:p>
        </w:tc>
        <w:tc>
          <w:tcPr>
            <w:tcW w:type="dxa" w:w="2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Muy bajo</w:t>
            </w:r>
          </w:p>
        </w:tc>
      </w:tr>
      <w:tr>
        <w:tc>
          <w:tcPr>
            <w:tcW w:type="dxa" w:w="24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OpenAI GPT-4o</w:t>
            </w:r>
          </w:p>
        </w:tc>
        <w:tc>
          <w:tcPr>
            <w:tcW w:type="dxa" w:w="49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Tareas críticas, máxima precisión</w:t>
            </w:r>
          </w:p>
        </w:tc>
        <w:tc>
          <w:tcPr>
            <w:tcW w:type="dxa" w:w="20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Medio-alto</w:t>
            </w:r>
          </w:p>
        </w:tc>
      </w:tr>
      <w:tr>
        <w:tc>
          <w:tcPr>
            <w:tcW w:type="dxa" w:w="24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Ollama (local)</w:t>
            </w:r>
          </w:p>
        </w:tc>
        <w:tc>
          <w:tcPr>
            <w:tcW w:type="dxa" w:w="49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Privacidad total, sin costo, sin internet</w:t>
            </w:r>
          </w:p>
        </w:tc>
        <w:tc>
          <w:tcPr>
            <w:tcW w:type="dxa" w:w="2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Gratis</w:t>
            </w:r>
          </w:p>
        </w:tc>
      </w:tr>
      <w:tr>
        <w:tc>
          <w:tcPr>
            <w:tcW w:type="dxa" w:w="24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Anthropic Claude</w:t>
            </w:r>
          </w:p>
        </w:tc>
        <w:tc>
          <w:tcPr>
            <w:tcW w:type="dxa" w:w="49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Documentos largos, razonamiento</w:t>
            </w:r>
          </w:p>
        </w:tc>
        <w:tc>
          <w:tcPr>
            <w:tcW w:type="dxa" w:w="20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Medio-alto</w:t>
            </w:r>
          </w:p>
        </w:tc>
      </w:tr>
      <w:tr>
        <w:tc>
          <w:tcPr>
            <w:tcW w:type="dxa" w:w="24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rPr>
                <w:b/>
                <w:bCs/>
              </w:rPr>
              <w:t xml:space="preserve">Google Gemini</w:t>
            </w:r>
          </w:p>
        </w:tc>
        <w:tc>
          <w:tcPr>
            <w:tcW w:type="dxa" w:w="49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Consultas simples, rápido</w:t>
            </w:r>
          </w:p>
        </w:tc>
        <w:tc>
          <w:tcPr>
            <w:tcW w:type="dxa" w:w="2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Bajo</w:t>
            </w:r>
          </w:p>
        </w:tc>
      </w:tr>
    </w:tbl>
    <w:p>
      <w:pPr>
        <w:pBdr>
          <w:left w:val="single" w:color="1B4D8C" w:sz="24" w:space="8"/>
        </w:pBdr>
        <w:shd w:fill="EAF2FB" w:val="clear"/>
        <w:spacing w:after="140" w:before="100"/>
      </w:pPr>
      <w:r>
        <w:rPr>
          <w:b/>
          <w:bCs/>
        </w:rPr>
        <w:t xml:space="preserve">BYOK (Bring Your Own Keys):</w:t>
      </w:r>
      <w:r>
        <w:t xml:space="preserve"> usted usa sus propias claves API. Sin topes de sesión — solo paga su saldo del proveedor (~USD 3/mes en uso real con DeepSeek).</w:t>
      </w:r>
    </w:p>
    <w:p>
      <w:pPr>
        <w:pStyle w:val="Heading1"/>
      </w:pPr>
      <w:r>
        <w:t xml:space="preserve">7. Privacidad y soberanía de datos</w:t>
      </w:r>
    </w:p>
    <w:p>
      <w:pPr>
        <w:spacing w:after="120" w:line="276"/>
      </w:pPr>
      <w:r>
        <w:t xml:space="preserve">Sus documentos se guardan únicamente en su equipo. Active el </w:t>
      </w:r>
      <w:r>
        <w:rPr>
          <w:b/>
          <w:bCs/>
        </w:rPr>
        <w:t xml:space="preserve">Modo SOLO-LOCAL</w:t>
      </w:r>
      <w:r>
        <w:t xml:space="preserve"> (un clic) para que ningún fragmento salga del computador: bloquea todo motor en la nube, tanto para el análisis como para el OCR.</w:t>
      </w:r>
    </w:p>
    <w:p>
      <w:pPr>
        <w:spacing w:after="40" w:before="120"/>
        <w:jc w:val="center"/>
      </w:pPr>
      <w:r>
        <w:drawing>
          <wp:inline distT="0" distB="0" distL="0" distR="0">
            <wp:extent cx="2286000" cy="2647950"/>
            <wp:effectExtent t="0" r="0" b="0" l="0"/>
            <wp:docPr id="1" name="Menu Lateral - Privacidad" descr="Controles de privacidad en el panel lateral" title="Controles de privacidad en el panel lat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Controles de privacidad en el panel lateral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Anonimización automática:</w:t>
      </w:r>
      <w:r>
        <w:t xml:space="preserve"> si usa un motor en la nube, los datos personales (cédulas, NIT, correos, teléfonos, direcciones y nombres de personas) se anonimizan antes del envío.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Cifrado en reposo:</w:t>
      </w:r>
      <w:r>
        <w:t xml:space="preserve"> la unidad se protege con BitLocker (XTS-AES 256).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Verificable:</w:t>
      </w:r>
      <w:r>
        <w:t xml:space="preserve"> en Modo SOLO-LOCAL no se genera ninguna conexión a internet, comprobable con el monitor de red de su propio equipo.</w:t>
      </w:r>
    </w:p>
    <w:p>
      <w:pPr>
        <w:pBdr>
          <w:left w:val="single" w:color="0E7C5A" w:sz="24" w:space="8"/>
        </w:pBdr>
        <w:shd w:fill="E9F7EF" w:val="clear"/>
        <w:spacing w:after="140" w:before="100"/>
      </w:pPr>
      <w:r>
        <w:t xml:space="preserve">Cumple con la Ley 1581 de 2012 (Habeas Data) de Colombia. AIMAXIMUS nunca vende, cede ni entrena modelos de terceros con su información.</w:t>
      </w:r>
    </w:p>
    <w:p>
      <w:r>
        <w:br w:type="page"/>
      </w:r>
    </w:p>
    <w:p>
      <w:pPr>
        <w:pStyle w:val="Heading1"/>
      </w:pPr>
      <w:r>
        <w:t xml:space="preserve">8. Roles profesionales (21 activos)</w:t>
      </w:r>
    </w:p>
    <w:p>
      <w:pPr>
        <w:spacing w:after="120" w:line="276"/>
      </w:pPr>
      <w:r>
        <w:t xml:space="preserve">Cuando selecciona un rol, el sistema configura automáticamente 5 parámetros de motor: K de recuperación, temperatura, profundidad, MapReduce y razonamiento paso a paso.</w:t>
      </w:r>
    </w:p>
    <w:p>
      <w:pPr>
        <w:pStyle w:val="Heading2"/>
      </w:pPr>
      <w:r>
        <w:t xml:space="preserve">Árbol de decisión rápida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5160"/>
        <w:gridCol w:w="4200"/>
      </w:tblGrid>
      <w:tr>
        <w:trPr>
          <w:tblHeader/>
        </w:trPr>
        <w:tc>
          <w:tcPr>
            <w:tcW w:type="dxa" w:w="51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Si el documento es…</w:t>
            </w:r>
          </w:p>
        </w:tc>
        <w:tc>
          <w:tcPr>
            <w:tcW w:type="dxa" w:w="42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Use este rol</w:t>
            </w:r>
          </w:p>
        </w:tc>
      </w:tr>
      <w:tr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Caso DIAN / requerimiento tributario</w:t>
            </w:r>
          </w:p>
        </w:tc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ABOGADO TRIBUTARISTA DIAN</w:t>
            </w:r>
          </w:p>
        </w:tc>
      </w:tr>
      <w:tr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Contrato, demanda, resolución</w:t>
            </w:r>
          </w:p>
        </w:tc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Abogado Especializado / LEGAL EXPERTO</w:t>
            </w:r>
          </w:p>
        </w:tc>
      </w:tr>
      <w:tr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Tablas de pagos, balances, extractos (Colombia)</w:t>
            </w:r>
          </w:p>
        </w:tc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ANALISIS FINANCIERO</w:t>
            </w:r>
          </w:p>
        </w:tc>
      </w:tr>
      <w:tr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Declaración de renta, factura DIAN</w:t>
            </w:r>
          </w:p>
        </w:tc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CONTADOR PÚBLICO</w:t>
            </w:r>
          </w:p>
        </w:tc>
      </w:tr>
      <w:tr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Verificar que un expediente esté completo</w:t>
            </w:r>
          </w:p>
        </w:tc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AUDITOR DOCUMENTAL</w:t>
            </w:r>
          </w:p>
        </w:tc>
      </w:tr>
      <w:tr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Comparar versiones / detectar contradicciones</w:t>
            </w:r>
          </w:p>
        </w:tc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FORENSE DOCUMENTAL</w:t>
            </w:r>
          </w:p>
        </w:tc>
      </w:tr>
      <w:tr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Manual técnico, especificaciones de TI</w:t>
            </w:r>
          </w:p>
        </w:tc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Ingeniero de Sistemas</w:t>
            </w:r>
          </w:p>
        </w:tc>
      </w:tr>
      <w:tr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Buscar texto exacto con página</w:t>
            </w:r>
          </w:p>
        </w:tc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CONSULTA ESTRICTA</w:t>
            </w:r>
          </w:p>
        </w:tc>
      </w:tr>
      <w:tr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No sé qué rol / pregunta mixta</w:t>
            </w:r>
          </w:p>
        </w:tc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UNIVERSAL INTELIGENTE</w:t>
            </w:r>
          </w:p>
        </w:tc>
      </w:tr>
    </w:tbl>
    <w:p>
      <w:pPr>
        <w:pBdr>
          <w:left w:val="single" w:color="1B4D8C" w:sz="24" w:space="8"/>
        </w:pBdr>
        <w:shd w:fill="EAF2FB" w:val="clear"/>
        <w:spacing w:after="140" w:before="100"/>
      </w:pPr>
      <w:r>
        <w:rPr>
          <w:b/>
          <w:bCs/>
        </w:rPr>
        <w:t xml:space="preserve">Regla de oro:</w:t>
      </w:r>
      <w:r>
        <w:t xml:space="preserve"> elija el rol según el tipo de DOCUMENTO, no según el tipo de pregunta. Un extracto bancario se analiza con ANALISIS FINANCIERO aunque la pregunta sea legal.</w:t>
      </w:r>
    </w:p>
    <w:p>
      <w:pPr>
        <w:pStyle w:val="Heading1"/>
      </w:pPr>
      <w:r>
        <w:t xml:space="preserve">9. Monitoreo de costos de IA</w:t>
      </w:r>
    </w:p>
    <w:p>
      <w:pPr>
        <w:spacing w:after="120" w:line="276"/>
      </w:pPr>
      <w:r>
        <w:t xml:space="preserve">El sistema registra cada llamada a la IA. Véalo en el panel lateral → </w:t>
      </w:r>
      <w:r>
        <w:rPr>
          <w:b/>
          <w:bCs/>
        </w:rPr>
        <w:t xml:space="preserve">💰 Consumo IA → Ver Dashboard Costos</w:t>
      </w:r>
      <w:r>
        <w:t xml:space="preserve">, o en </w:t>
      </w:r>
      <w:r>
        <w:rPr>
          <w:b/>
          <w:bCs/>
        </w:rPr>
        <w:t xml:space="preserve">⚙️ Configuración → Estadísticas y Costos</w:t>
      </w:r>
      <w:r>
        <w:t xml:space="preserve">.</w:t>
      </w:r>
    </w:p>
    <w:p>
      <w:pPr>
        <w:spacing w:after="40" w:before="120"/>
        <w:jc w:val="center"/>
      </w:pPr>
      <w:r>
        <w:drawing>
          <wp:inline distT="0" distB="0" distL="0" distR="0">
            <wp:extent cx="5715000" cy="2857500"/>
            <wp:effectExtent t="0" r="0" b="0" l="0"/>
            <wp:docPr id="1" name="Estadisticas Consumo APIS" descr="Dashboard de estadísticas y costos de IA" title="Dashboard de estadísticas y costos de 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Dashboard de estadísticas y costos de IA</w:t>
      </w:r>
    </w:p>
    <w:p>
      <w:pPr>
        <w:spacing w:after="40" w:before="120"/>
        <w:jc w:val="center"/>
      </w:pPr>
      <w:r>
        <w:drawing>
          <wp:inline distT="0" distB="0" distL="0" distR="0">
            <wp:extent cx="2286000" cy="1609725"/>
            <wp:effectExtent t="0" r="0" b="0" l="0"/>
            <wp:docPr id="1" name="Menu Lateral - Consumo IA" descr="Resumen de consumo en el panel lateral" title="Resumen de consumo en el panel lat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6B7280"/>
          <w:sz w:val="18"/>
          <w:szCs w:val="18"/>
        </w:rPr>
        <w:t xml:space="preserve">Resumen de consumo en el panel lateral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4000"/>
        <w:gridCol w:w="2680"/>
        <w:gridCol w:w="2680"/>
      </w:tblGrid>
      <w:tr>
        <w:trPr>
          <w:tblHeader/>
        </w:trPr>
        <w:tc>
          <w:tcPr>
            <w:tcW w:type="dxa" w:w="40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Uso (referencia)</w:t>
            </w:r>
          </w:p>
        </w:tc>
        <w:tc>
          <w:tcPr>
            <w:tcW w:type="dxa" w:w="26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DeepSeek</w:t>
            </w:r>
          </w:p>
        </w:tc>
        <w:tc>
          <w:tcPr>
            <w:tcW w:type="dxa" w:w="26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OpenAI GPT-4o</w:t>
            </w:r>
          </w:p>
        </w:tc>
      </w:tr>
      <w:tr>
        <w:tc>
          <w:tcPr>
            <w:tcW w:type="dxa" w:w="40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50 consultas de chat</w:t>
            </w:r>
          </w:p>
        </w:tc>
        <w:tc>
          <w:tcPr>
            <w:tcW w:type="dxa" w:w="2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~$0,07 USD</w:t>
            </w:r>
          </w:p>
        </w:tc>
        <w:tc>
          <w:tcPr>
            <w:tcW w:type="dxa" w:w="2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~$0,50 USD</w:t>
            </w:r>
          </w:p>
        </w:tc>
      </w:tr>
      <w:tr>
        <w:tc>
          <w:tcPr>
            <w:tcW w:type="dxa" w:w="40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Catálogo de 100 documentos</w:t>
            </w:r>
          </w:p>
        </w:tc>
        <w:tc>
          <w:tcPr>
            <w:tcW w:type="dxa" w:w="26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~$0,02 USD</w:t>
            </w:r>
          </w:p>
        </w:tc>
        <w:tc>
          <w:tcPr>
            <w:tcW w:type="dxa" w:w="26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—</w:t>
            </w:r>
          </w:p>
        </w:tc>
      </w:tr>
    </w:tbl>
    <w:p>
      <w:pPr>
        <w:pStyle w:val="Heading1"/>
      </w:pPr>
      <w:r>
        <w:t xml:space="preserve">10. Cómo preguntar con precisión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4680"/>
        <w:gridCol w:w="4680"/>
      </w:tblGrid>
      <w:tr>
        <w:trPr>
          <w:tblHeader/>
        </w:trPr>
        <w:tc>
          <w:tcPr>
            <w:tcW w:type="dxa" w:w="46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❌ Pregunta vaga</w:t>
            </w:r>
          </w:p>
        </w:tc>
        <w:tc>
          <w:tcPr>
            <w:tcW w:type="dxa" w:w="468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✅ Pregunta precisa</w:t>
            </w:r>
          </w:p>
        </w:tc>
      </w:tr>
      <w:tr>
        <w:tc>
          <w:tcPr>
            <w:tcW w:type="dxa" w:w="4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“extrae todos los datos y analiza”</w:t>
            </w:r>
          </w:p>
        </w:tc>
        <w:tc>
          <w:tcPr>
            <w:tcW w:type="dxa" w:w="4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“extrae la tabla de la hoja ‘Pagos’ del archivo ‘ventas’”</w:t>
            </w:r>
          </w:p>
        </w:tc>
      </w:tr>
      <w:tr>
        <w:tc>
          <w:tcPr>
            <w:tcW w:type="dxa" w:w="46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“¿cuánto es el total?”</w:t>
            </w:r>
          </w:p>
        </w:tc>
        <w:tc>
          <w:tcPr>
            <w:tcW w:type="dxa" w:w="468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“¿cuál es el TOTAL FINAL de la hoja ‘Pagos’ en ‘ventas.xlsx’?”</w:t>
            </w:r>
          </w:p>
        </w:tc>
      </w:tr>
      <w:tr>
        <w:tc>
          <w:tcPr>
            <w:tcW w:type="dxa" w:w="4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“dame la tabla del Excel”</w:t>
            </w:r>
          </w:p>
        </w:tc>
        <w:tc>
          <w:tcPr>
            <w:tcW w:type="dxa" w:w="468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“muestra solo la tabla de pagos, sin análisis adicional”</w:t>
            </w:r>
          </w:p>
        </w:tc>
      </w:tr>
    </w:tbl>
    <w:p>
      <w:pPr>
        <w:pStyle w:val="ListParagraph"/>
        <w:numPr>
          <w:ilvl w:val="0"/>
          <w:numId w:val="2"/>
        </w:numPr>
        <w:spacing w:after="60"/>
      </w:pPr>
      <w:r>
        <w:t xml:space="preserve">Ponga el </w:t>
      </w:r>
      <w:r>
        <w:rPr>
          <w:b/>
          <w:bCs/>
        </w:rPr>
        <w:t xml:space="preserve">nombre del archivo entre comillas</w:t>
      </w:r>
      <w:r>
        <w:t xml:space="preserve"> (“pagos_vendedor”): activa la extracción del documento completo, 100% de las filas.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Especifique la </w:t>
      </w:r>
      <w:r>
        <w:rPr>
          <w:b/>
          <w:bCs/>
        </w:rPr>
        <w:t xml:space="preserve">hoja exacta</w:t>
      </w:r>
      <w:r>
        <w:t xml:space="preserve"> cuando el Excel tiene varias.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Use </w:t>
      </w:r>
      <w:r>
        <w:rPr>
          <w:b/>
          <w:bCs/>
        </w:rPr>
        <w:t xml:space="preserve">“solo”, “únicamente”, “concéntrate en”</w:t>
      </w:r>
      <w:r>
        <w:t xml:space="preserve"> para limitar el alcance.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Para cambiar de tema, pulse </w:t>
      </w:r>
      <w:r>
        <w:rPr>
          <w:b/>
          <w:bCs/>
        </w:rPr>
        <w:t xml:space="preserve">🔄 Nueva conversación</w:t>
      </w:r>
      <w:r>
        <w:t xml:space="preserve">.</w:t>
      </w:r>
    </w:p>
    <w:p>
      <w:pPr>
        <w:pStyle w:val="Heading1"/>
      </w:pPr>
      <w:r>
        <w:t xml:space="preserve">11. Solución de problemas</w:t>
      </w:r>
    </w:p>
    <w:tbl>
      <w:tblPr>
        <w:tblW w:type="dxa" w:w="9360"/>
        <w:tblBorders>
          <w:top w:val="single" w:color="CCCCCC" w:sz="1"/>
          <w:left w:val="single" w:color="CCCCCC" w:sz="1"/>
          <w:bottom w:val="single" w:color="CCCCCC" w:sz="1"/>
          <w:right w:val="single" w:color="CCCCCC" w:sz="1"/>
          <w:insideH w:val="single" w:color="CCCCCC" w:sz="1"/>
          <w:insideV w:val="single" w:color="CCCCCC" w:sz="1"/>
        </w:tblBorders>
      </w:tblPr>
      <w:tblGrid>
        <w:gridCol w:w="4200"/>
        <w:gridCol w:w="5160"/>
      </w:tblGrid>
      <w:tr>
        <w:trPr>
          <w:tblHeader/>
        </w:trPr>
        <w:tc>
          <w:tcPr>
            <w:tcW w:type="dxa" w:w="420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Problema</w:t>
            </w:r>
          </w:p>
        </w:tc>
        <w:tc>
          <w:tcPr>
            <w:tcW w:type="dxa" w:w="5160"/>
            <w:shd w:fill="1B4D8C" w:val="clear"/>
            <w:tcMar>
              <w:top w:type="dxa" w:w="60"/>
              <w:left w:type="dxa" w:w="110"/>
              <w:bottom w:type="dxa" w:w="60"/>
              <w:right w:type="dxa" w:w="110"/>
            </w:tcMar>
            <w:vAlign w:val="center"/>
          </w:tcPr>
          <w:p>
            <w:r>
              <w:rPr>
                <w:b/>
                <w:bCs/>
                <w:color w:val="FFFFFF"/>
                <w:sz w:val="20"/>
                <w:szCs w:val="20"/>
              </w:rPr>
              <w:t xml:space="preserve">Solución</w:t>
            </w:r>
          </w:p>
        </w:tc>
      </w:tr>
      <w:tr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“No hay documentos procesados”</w:t>
            </w:r>
          </w:p>
        </w:tc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Verifique chunks &gt; 0 y ejecute el Diagnóstico de Integridad.</w:t>
            </w:r>
          </w:p>
        </w:tc>
      </w:tr>
      <w:tr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Respuesta incompleta</w:t>
            </w:r>
          </w:p>
        </w:tc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Active </w:t>
            </w:r>
            <w:r>
              <w:rPr>
                <w:b/>
                <w:bCs/>
              </w:rPr>
              <w:t xml:space="preserve">🔍 Cobertura total</w:t>
            </w:r>
            <w:r>
              <w:t xml:space="preserve"> / Análisis Profundo, o use rol AUDITOR/FORENSE.</w:t>
            </w:r>
          </w:p>
        </w:tc>
      </w:tr>
      <w:tr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Falta un dato que está a mitad de un documento largo</w:t>
            </w:r>
          </w:p>
        </w:tc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Active </w:t>
            </w:r>
            <w:r>
              <w:rPr>
                <w:b/>
                <w:bCs/>
              </w:rPr>
              <w:t xml:space="preserve">🔍 Cobertura total</w:t>
            </w:r>
            <w:r>
              <w:t xml:space="preserve"> (lee el 100% de cada documento).</w:t>
            </w:r>
          </w:p>
        </w:tc>
      </w:tr>
      <w:tr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El chat “olvida” preguntas anteriores</w:t>
            </w:r>
          </w:p>
        </w:tc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Suba la memoria en </w:t>
            </w:r>
            <w:r>
              <w:rPr>
                <w:b/>
                <w:bCs/>
              </w:rPr>
              <w:t xml:space="preserve">📐 Cobertura y Memoria</w:t>
            </w:r>
            <w:r>
              <w:t xml:space="preserve"> (menú lateral).</w:t>
            </w:r>
          </w:p>
        </w:tc>
      </w:tr>
      <w:tr>
        <w:tc>
          <w:tcPr>
            <w:tcW w:type="dxa" w:w="420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Respuesta muy lenta</w:t>
            </w:r>
          </w:p>
        </w:tc>
        <w:tc>
          <w:tcPr>
            <w:tcW w:type="dxa" w:w="5160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Desactive Cobertura total / Análisis Profundo para esa consulta.</w:t>
            </w:r>
          </w:p>
        </w:tc>
      </w:tr>
      <w:tr>
        <w:tc>
          <w:tcPr>
            <w:tcW w:type="dxa" w:w="420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Error de cuota OpenAI</w:t>
            </w:r>
          </w:p>
        </w:tc>
        <w:tc>
          <w:tcPr>
            <w:tcW w:type="dxa" w:w="5160"/>
            <w:shd w:fill="F4F8FC" w:val="clear"/>
            <w:tcMar>
              <w:top w:type="dxa" w:w="50"/>
              <w:left w:type="dxa" w:w="110"/>
              <w:bottom w:type="dxa" w:w="50"/>
              <w:right w:type="dxa" w:w="110"/>
            </w:tcMar>
            <w:vAlign w:val="center"/>
          </w:tcPr>
          <w:p>
            <w:pPr>
              <w:spacing w:after="0"/>
            </w:pPr>
            <w:r>
              <w:t xml:space="preserve">Configure DeepSeek con prioridad 1 en Proveedores IA.</w:t>
            </w:r>
          </w:p>
        </w:tc>
      </w:tr>
    </w:tbl>
    <w:p>
      <w:pPr>
        <w:pStyle w:val="Heading1"/>
      </w:pPr>
      <w:r>
        <w:t xml:space="preserve">12. Novedades por versión</w:t>
      </w:r>
    </w:p>
    <w:p>
      <w:pPr>
        <w:pStyle w:val="Heading2"/>
      </w:pPr>
      <w:r>
        <w:t xml:space="preserve">Junio 2026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Nivel de cobertura configurable</w:t>
      </w:r>
      <w:r>
        <w:t xml:space="preserve"> (Rápido / Equilibrado / Exhaustivo) + toggle </w:t>
      </w:r>
      <w:r>
        <w:rPr>
          <w:b/>
          <w:bCs/>
        </w:rPr>
        <w:t xml:space="preserve">🔍 Cobertura total</w:t>
      </w:r>
      <w:r>
        <w:t xml:space="preserve">: lee el 100% de cada documento cuando lo necesita.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Memoria de conversación ajustable</w:t>
      </w:r>
      <w:r>
        <w:t xml:space="preserve"> (1–12 turnos) desde </w:t>
      </w:r>
      <w:r>
        <w:rPr>
          <w:b/>
          <w:bCs/>
        </w:rPr>
        <w:t xml:space="preserve">📐 Cobertura y Memoria</w:t>
      </w:r>
      <w:r>
        <w:t xml:space="preserve">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Modo SOLO-LOCAL</w:t>
      </w:r>
      <w:r>
        <w:t xml:space="preserve"> de un clic + anonimización de nombres de personas + cifrado en reposo (BitLocker).</w:t>
      </w:r>
    </w:p>
    <w:p>
      <w:pPr>
        <w:pStyle w:val="Heading2"/>
      </w:pPr>
      <w:r>
        <w:t xml:space="preserve">Abril–Mayo 2026</w:t>
      </w:r>
    </w:p>
    <w:p>
      <w:pPr>
        <w:pStyle w:val="ListParagraph"/>
        <w:numPr>
          <w:ilvl w:val="0"/>
          <w:numId w:val="2"/>
        </w:numPr>
        <w:spacing w:after="60"/>
      </w:pPr>
      <w:r>
        <w:t xml:space="preserve">Exportación </w:t>
      </w:r>
      <w:r>
        <w:rPr>
          <w:b/>
          <w:bCs/>
        </w:rPr>
        <w:t xml:space="preserve">HTML standalone</w:t>
      </w:r>
      <w:r>
        <w:t xml:space="preserve">, TOC automático, logo institucional en Word/PDF/HTML.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Verificador anti-alucinación</w:t>
      </w:r>
      <w:r>
        <w:t xml:space="preserve"> incorporado (cifras, fechas y códigos cruzados contra los documentos).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Citas inline clicables</w:t>
      </w:r>
      <w:r>
        <w:t xml:space="preserve"> con página exacta y resaltado del fragmento citado.</w:t>
      </w:r>
    </w:p>
    <w:p>
      <w:pPr>
        <w:spacing w:before="240"/>
        <w:jc w:val="center"/>
      </w:pPr>
      <w:r>
        <w:rPr>
          <w:i/>
          <w:iCs/>
          <w:color w:val="6B7280"/>
          <w:sz w:val="18"/>
          <w:szCs w:val="18"/>
        </w:rPr>
        <w:t xml:space="preserve">— Fin del manual · AIMAXIMUS v2.0 (09-jun-2026) —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color w:val="6B7280"/>
        <w:sz w:val="16"/>
        <w:szCs w:val="16"/>
      </w:rPr>
      <w:t xml:space="preserve">Página </w:t>
    </w:r>
    <w:r>
      <w:rPr>
        <w:color w:val="6B7280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color w:val="6B7280"/>
        <w:sz w:val="16"/>
        <w:szCs w:val="16"/>
      </w:rPr>
      <w:t xml:space="preserve"> de </w:t>
    </w:r>
    <w:r>
      <w:rPr>
        <w:color w:val="6B7280"/>
        <w:sz w:val="16"/>
        <w:szCs w:val="16"/>
      </w:rPr>
      <w:fldChar w:fldCharType="begin"/>
      <w:instrText xml:space="preserve">NUMPAGES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Bdr>
        <w:bottom w:val="single" w:color="CCCCCC" w:sz="4" w:space="4"/>
      </w:pBdr>
      <w:tabs>
        <w:tab w:val="right" w:pos="9360"/>
      </w:tabs>
    </w:pPr>
    <w:r>
      <w:rPr>
        <w:color w:val="6B7280"/>
        <w:sz w:val="16"/>
        <w:szCs w:val="16"/>
      </w:rPr>
      <w:t xml:space="preserve">AIMAXIMUS — Manual de Usuario</w:t>
    </w:r>
    <w:r>
      <w:rPr>
        <w:color w:val="6B7280"/>
        <w:sz w:val="16"/>
        <w:szCs w:val="16"/>
      </w:rPr>
      <w:t xml:space="preserve">	v2.0 · jun 2026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540" w:hanging="260"/>
      </w:pPr>
    </w:lvl>
    <w:lvl w:ilvl="1" w15:tentative="1">
      <w:start w:val="1"/>
      <w:numFmt w:val="bullet"/>
      <w:lvlText w:val="◦"/>
      <w:lvlJc w:val="left"/>
      <w:pPr>
        <w:ind w:left="1080" w:hanging="2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540" w:hanging="2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color w:val="1F2937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pBdr>
        <w:bottom w:val="single" w:color="1B4D8C" w:sz="6" w:space="4"/>
      </w:pBdr>
      <w:spacing w:after="160" w:before="320"/>
      <w:outlineLvl w:val="0"/>
    </w:pPr>
    <w:rPr>
      <w:rFonts w:ascii="Arial" w:cs="Arial" w:eastAsia="Arial" w:hAnsi="Arial"/>
      <w:b/>
      <w:bCs/>
      <w:color w:val="1B4D8C"/>
      <w:sz w:val="30"/>
      <w:szCs w:val="30"/>
    </w:rPr>
  </w:style>
  <w:style w:type="paragraph" w:styleId="Heading2">
    <w:name w:val="Heading 2"/>
    <w:basedOn w:val="Normal"/>
    <w:next w:val="Normal"/>
    <w:qFormat/>
    <w:pPr>
      <w:spacing w:after="120" w:before="220"/>
      <w:outlineLvl w:val="1"/>
    </w:pPr>
    <w:rPr>
      <w:rFonts w:ascii="Arial" w:cs="Arial" w:eastAsia="Arial" w:hAnsi="Arial"/>
      <w:b/>
      <w:bCs/>
      <w:color w:val="0E7C5A"/>
      <w:sz w:val="25"/>
      <w:szCs w:val="25"/>
    </w:rPr>
  </w:style>
  <w:style w:type="paragraph" w:styleId="Heading3">
    <w:name w:val="Heading 3"/>
    <w:basedOn w:val="Normal"/>
    <w:next w:val="Normal"/>
    <w:qFormat/>
    <w:pPr>
      <w:spacing w:after="100" w:before="160"/>
      <w:outlineLvl w:val="2"/>
    </w:pPr>
    <w:rPr>
      <w:rFonts w:ascii="Arial" w:cs="Arial" w:eastAsia="Arial" w:hAnsi="Arial"/>
      <w:b/>
      <w:bCs/>
      <w:color w:val="1F2937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6b79a36b83f3dece319e7ae4a0de1d1df3b1fed4.png"/><Relationship Id="rId10" Type="http://schemas.openxmlformats.org/officeDocument/2006/relationships/image" Target="media/66b46ba67eba349104886ac861518da5899a3243.png"/><Relationship Id="rId11" Type="http://schemas.openxmlformats.org/officeDocument/2006/relationships/image" Target="media/eec0bc3547933602a9075e1ca05010d3ee705533.png"/><Relationship Id="rId12" Type="http://schemas.openxmlformats.org/officeDocument/2006/relationships/image" Target="media/9a968c959723b3f65589a25ee560cf0a18adc954.png"/><Relationship Id="rId13" Type="http://schemas.openxmlformats.org/officeDocument/2006/relationships/image" Target="media/7a37094419199caf99d83aef27c289bab12735b6.png"/><Relationship Id="rId14" Type="http://schemas.openxmlformats.org/officeDocument/2006/relationships/image" Target="media/4c1a8bd95372753498a8c19ed0721957a45f3469.png"/><Relationship Id="rId15" Type="http://schemas.openxmlformats.org/officeDocument/2006/relationships/image" Target="media/677696de901ba1d26791f6fa5c5a31f118786f1e.png"/><Relationship Id="rId16" Type="http://schemas.openxmlformats.org/officeDocument/2006/relationships/image" Target="media/d10687230be50082186f4f1f2e11a8b9c66accf9.png"/><Relationship Id="rId17" Type="http://schemas.openxmlformats.org/officeDocument/2006/relationships/image" Target="media/072e3fd06ffe062f87070a9ee167e59c1ffed8ed.png"/><Relationship Id="rId18" Type="http://schemas.openxmlformats.org/officeDocument/2006/relationships/image" Target="media/d7f8a3bd9dcecf49408796c17ba035515af7edda.png"/><Relationship Id="rId19" Type="http://schemas.openxmlformats.org/officeDocument/2006/relationships/image" Target="media/8fd895bda54ca2731dd0a7466b7bc8ac20e82c6b.png"/><Relationship Id="rId20" Type="http://schemas.openxmlformats.org/officeDocument/2006/relationships/image" Target="media/b414ecc3fca70af20685be6cd789c01a43affd4c.png"/><Relationship Id="rId21" Type="http://schemas.openxmlformats.org/officeDocument/2006/relationships/image" Target="media/64847f240dd23d3bb44579f8c5c67e735853c012.png"/><Relationship Id="rId22" Type="http://schemas.openxmlformats.org/officeDocument/2006/relationships/image" Target="media/5e307986f5ca1d624a9e2537d9a13e63aff6e254.png"/><Relationship Id="rId23" Type="http://schemas.openxmlformats.org/officeDocument/2006/relationships/image" Target="media/2f6fe304129524fecc89088d24c3a68bd9cbd94a.png"/><Relationship Id="rId24" Type="http://schemas.openxmlformats.org/officeDocument/2006/relationships/image" Target="media/b055c185a4fac2265cabf98bd7272fde01759566.png"/><Relationship Id="rId25" Type="http://schemas.openxmlformats.org/officeDocument/2006/relationships/image" Target="media/ffe9fc89dbed10a4c0f6cfc419b9e93688a984d2.png"/><Relationship Id="rId26" Type="http://schemas.openxmlformats.org/officeDocument/2006/relationships/image" Target="media/6aebce9fe894e01678dde712d1c90c23b40214df.png"/><Relationship Id="rId27" Type="http://schemas.openxmlformats.org/officeDocument/2006/relationships/image" Target="media/a96ef243d305b3900445653660d517ac83370782.png"/><Relationship Id="rId2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AIMAXIMUS v2.0</dc:title>
  <dc:creator>AIMAXIMUS</dc:creator>
  <dc:description>Manual de usuario con imágenes</dc:description>
  <cp:lastModifiedBy>Un-named</cp:lastModifiedBy>
  <cp:revision>1</cp:revision>
  <dcterms:created xsi:type="dcterms:W3CDTF">2026-06-09T18:50:39.149Z</dcterms:created>
  <dcterms:modified xsi:type="dcterms:W3CDTF">2026-06-09T18:50:39.150Z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